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505B77">
        <w:rPr>
          <w:sz w:val="28"/>
          <w:szCs w:val="28"/>
        </w:rPr>
        <w:t>4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CF2578">
        <w:rPr>
          <w:sz w:val="28"/>
          <w:szCs w:val="28"/>
          <w:lang w:val="kk-KZ"/>
        </w:rPr>
        <w:t>0</w:t>
      </w:r>
      <w:r w:rsidR="00505B77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» апреля 201</w:t>
      </w:r>
      <w:r w:rsidR="00CF2578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4D720F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</w:p>
    <w:p w:rsidR="0014033B" w:rsidRPr="00F744B5" w:rsidRDefault="00FD66C3" w:rsidP="004D720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ул. </w:t>
      </w:r>
      <w:r w:rsidR="00CF2578">
        <w:rPr>
          <w:spacing w:val="2"/>
        </w:rPr>
        <w:t>К. Мухамедханова</w:t>
      </w:r>
      <w:r w:rsidR="004D720F">
        <w:rPr>
          <w:spacing w:val="2"/>
        </w:rPr>
        <w:t xml:space="preserve">,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5000" w:type="pct"/>
        <w:tblLook w:val="04A0"/>
      </w:tblPr>
      <w:tblGrid>
        <w:gridCol w:w="619"/>
        <w:gridCol w:w="1863"/>
        <w:gridCol w:w="2294"/>
        <w:gridCol w:w="696"/>
        <w:gridCol w:w="919"/>
        <w:gridCol w:w="1026"/>
        <w:gridCol w:w="1389"/>
        <w:gridCol w:w="1876"/>
      </w:tblGrid>
      <w:tr w:rsidR="00741D92" w:rsidRPr="00BD29FB" w:rsidTr="00C17E5A">
        <w:trPr>
          <w:trHeight w:val="11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741D92" w:rsidRPr="00BD29FB" w:rsidTr="00C17E5A">
        <w:trPr>
          <w:trHeight w:val="113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505B77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7" w:rsidRPr="00505B77" w:rsidRDefault="00505B77" w:rsidP="00505B77">
            <w:pPr>
              <w:widowControl w:val="0"/>
              <w:spacing w:line="260" w:lineRule="exact"/>
              <w:ind w:lef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505B7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Тест-система иммуноферментная для определения </w:t>
            </w:r>
            <w:r w:rsidRPr="00505B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для определения антител к </w:t>
            </w:r>
            <w:r w:rsidRPr="00505B77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en-US"/>
              </w:rPr>
              <w:t>Treponemapallidum</w:t>
            </w:r>
            <w:r w:rsidRPr="00505B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505B7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сыворотке или плазме крови 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96 определений, ДЭН, стрип.</w:t>
            </w:r>
          </w:p>
          <w:p w:rsidR="00CF2578" w:rsidRPr="00505B77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D92" w:rsidRPr="00741D92" w:rsidRDefault="00505B77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Тест-система для обнаружения антител к специфическим антигенам  Treponema pallidum(Ig и IgM), иммунный ответ на которые наблюдается  на протяжении всего периода заболевания. Основой системы являются рекомбинантные протеины ТрN15,TpN16и  TpN47,как меченные,так и не меченные пероксидазой хрена, которые несут иммунодоминантные антигены белков Treponemapallidum  . Чувствительность теста -100%, специфичность не менее 99%.</w:t>
            </w:r>
            <w:r w:rsidR="00741D92"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 xml:space="preserve"> Реагенты: 1. Ячейки, покрытые антигеном (1 плашка (96 опр) ,содержащие по 96 ячеек, покрытых смесью  антител  к  IgG  и  IgM  человека, а  также  рекомбинантными  антигенами T. Pallidum.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2. Разбавитель образца – 1 фл, 36 мл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3. Отрицательный контроль – 1 фл, 2,5 мл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4. Положительный контроль– 1 фл, 1,5 мл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5. Разбавитель конъюгата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 xml:space="preserve">– 1 фл, 7 мл (96 опр), 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6. Конъюгат– 1 фл на 1 (96 опр) плашек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7. Разбавитель субстрата– 1 фл, 35  мл</w:t>
            </w:r>
          </w:p>
          <w:p w:rsidR="00741D92" w:rsidRPr="00741D92" w:rsidRDefault="00741D92" w:rsidP="00741D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8. Концентрат субстрата– 1 фл, 35 мл</w:t>
            </w:r>
          </w:p>
          <w:p w:rsidR="00CF2578" w:rsidRPr="00741D92" w:rsidRDefault="00741D92" w:rsidP="00741D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9. Промывочная жидкость– 1 фл (96 опр)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DE1680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DE1680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DE1680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DE1680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 тенге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BD29FB" w:rsidRDefault="00CF2578" w:rsidP="005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г.Семей, ул. К. Мухамедханова</w:t>
            </w: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CF2578" w:rsidRPr="00BD29FB" w:rsidTr="00C17E5A">
        <w:trPr>
          <w:trHeight w:val="300"/>
        </w:trPr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плановая сумма закупки итого: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BD29FB" w:rsidRDefault="00C17E5A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315 000, 00 тенге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C17E5A" w:rsidRDefault="00C17E5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lastRenderedPageBreak/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="00CF2578">
        <w:rPr>
          <w:spacing w:val="2"/>
        </w:rPr>
        <w:t xml:space="preserve">К. Мухамедханова, </w:t>
      </w:r>
      <w:r>
        <w:rPr>
          <w:spacing w:val="2"/>
        </w:rPr>
        <w:t>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>№ 6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CF2578">
        <w:rPr>
          <w:spacing w:val="2"/>
        </w:rPr>
        <w:t>1</w:t>
      </w:r>
      <w:r w:rsidR="00A609CD">
        <w:rPr>
          <w:spacing w:val="2"/>
        </w:rPr>
        <w:t>6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741D92">
        <w:rPr>
          <w:spacing w:val="2"/>
        </w:rPr>
        <w:t>16</w:t>
      </w:r>
      <w:r w:rsidR="00F744B5">
        <w:rPr>
          <w:spacing w:val="2"/>
        </w:rPr>
        <w:t>»</w:t>
      </w:r>
      <w:r w:rsidR="00EF20D0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EF20D0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  <w:r w:rsidR="00EF20D0" w:rsidRPr="00F744B5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CF2578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CF2578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741D92">
        <w:rPr>
          <w:spacing w:val="2"/>
        </w:rPr>
        <w:t>16</w:t>
      </w:r>
      <w:r w:rsidR="005737CA">
        <w:rPr>
          <w:spacing w:val="2"/>
        </w:rPr>
        <w:t>»</w:t>
      </w:r>
      <w:r w:rsidR="005737CA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5737CA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 w:rsidRPr="00F744B5">
        <w:rPr>
          <w:spacing w:val="2"/>
          <w:lang w:val="kk-KZ"/>
        </w:rPr>
        <w:t xml:space="preserve"> </w:t>
      </w:r>
      <w:r w:rsidR="0051122A">
        <w:rPr>
          <w:spacing w:val="2"/>
        </w:rPr>
        <w:t xml:space="preserve">г. Семей, ул. </w:t>
      </w:r>
      <w:r w:rsidR="00CF2578">
        <w:rPr>
          <w:spacing w:val="2"/>
        </w:rPr>
        <w:t>К. Мухамедханова,</w:t>
      </w:r>
      <w:r w:rsidR="0051122A">
        <w:rPr>
          <w:spacing w:val="2"/>
        </w:rPr>
        <w:t xml:space="preserve">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</w:t>
      </w:r>
      <w:r w:rsidRPr="00F744B5">
        <w:rPr>
          <w:rStyle w:val="s0"/>
          <w:sz w:val="24"/>
          <w:szCs w:val="24"/>
        </w:rPr>
        <w:lastRenderedPageBreak/>
        <w:t>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741D92">
      <w:pPr>
        <w:rPr>
          <w:rFonts w:ascii="Times New Roman" w:hAnsi="Times New Roman" w:cs="Times New Roman"/>
        </w:rPr>
      </w:pPr>
    </w:p>
    <w:sectPr w:rsidR="0014033B" w:rsidRPr="00F744B5" w:rsidSect="00741D9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34" w:rsidRDefault="00E71034" w:rsidP="000B2D36">
      <w:pPr>
        <w:spacing w:after="0" w:line="240" w:lineRule="auto"/>
      </w:pPr>
      <w:r>
        <w:separator/>
      </w:r>
    </w:p>
  </w:endnote>
  <w:endnote w:type="continuationSeparator" w:id="1">
    <w:p w:rsidR="00E71034" w:rsidRDefault="00E71034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34" w:rsidRDefault="00E71034" w:rsidP="000B2D36">
      <w:pPr>
        <w:spacing w:after="0" w:line="240" w:lineRule="auto"/>
      </w:pPr>
      <w:r>
        <w:separator/>
      </w:r>
    </w:p>
  </w:footnote>
  <w:footnote w:type="continuationSeparator" w:id="1">
    <w:p w:rsidR="00E71034" w:rsidRDefault="00E71034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2350A"/>
    <w:rsid w:val="00041746"/>
    <w:rsid w:val="00047D7C"/>
    <w:rsid w:val="000752C0"/>
    <w:rsid w:val="00076D22"/>
    <w:rsid w:val="000B2D36"/>
    <w:rsid w:val="000D476A"/>
    <w:rsid w:val="0013609C"/>
    <w:rsid w:val="0014033B"/>
    <w:rsid w:val="00167AE6"/>
    <w:rsid w:val="001736DA"/>
    <w:rsid w:val="00182E5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6A7C"/>
    <w:rsid w:val="00330779"/>
    <w:rsid w:val="00381012"/>
    <w:rsid w:val="003C08DF"/>
    <w:rsid w:val="003D5701"/>
    <w:rsid w:val="00455279"/>
    <w:rsid w:val="00480F3A"/>
    <w:rsid w:val="004A4A65"/>
    <w:rsid w:val="004B1F4D"/>
    <w:rsid w:val="004D39E0"/>
    <w:rsid w:val="004D720F"/>
    <w:rsid w:val="00505B77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55965"/>
    <w:rsid w:val="00684D6D"/>
    <w:rsid w:val="00687104"/>
    <w:rsid w:val="006D2EB3"/>
    <w:rsid w:val="007153D4"/>
    <w:rsid w:val="007320D3"/>
    <w:rsid w:val="00741D92"/>
    <w:rsid w:val="00760E16"/>
    <w:rsid w:val="007C3C32"/>
    <w:rsid w:val="007E6DF1"/>
    <w:rsid w:val="007F3F8E"/>
    <w:rsid w:val="0080526E"/>
    <w:rsid w:val="00833413"/>
    <w:rsid w:val="008D0119"/>
    <w:rsid w:val="00933085"/>
    <w:rsid w:val="00935D31"/>
    <w:rsid w:val="0094129E"/>
    <w:rsid w:val="009474FC"/>
    <w:rsid w:val="00963717"/>
    <w:rsid w:val="009731E9"/>
    <w:rsid w:val="009A72CC"/>
    <w:rsid w:val="009D3770"/>
    <w:rsid w:val="009D712D"/>
    <w:rsid w:val="00A53E3D"/>
    <w:rsid w:val="00A609CD"/>
    <w:rsid w:val="00B032E5"/>
    <w:rsid w:val="00B10ED2"/>
    <w:rsid w:val="00B16017"/>
    <w:rsid w:val="00B50E2A"/>
    <w:rsid w:val="00B62329"/>
    <w:rsid w:val="00B67029"/>
    <w:rsid w:val="00B71D91"/>
    <w:rsid w:val="00BA74BB"/>
    <w:rsid w:val="00BD29FB"/>
    <w:rsid w:val="00C031D8"/>
    <w:rsid w:val="00C05B7D"/>
    <w:rsid w:val="00C10554"/>
    <w:rsid w:val="00C17E5A"/>
    <w:rsid w:val="00C80B43"/>
    <w:rsid w:val="00C9487E"/>
    <w:rsid w:val="00CA0697"/>
    <w:rsid w:val="00CF2578"/>
    <w:rsid w:val="00D1370A"/>
    <w:rsid w:val="00D1571B"/>
    <w:rsid w:val="00D64901"/>
    <w:rsid w:val="00D94D7C"/>
    <w:rsid w:val="00DC0D0C"/>
    <w:rsid w:val="00DE1680"/>
    <w:rsid w:val="00E27370"/>
    <w:rsid w:val="00E3650B"/>
    <w:rsid w:val="00E57DBD"/>
    <w:rsid w:val="00E62EA8"/>
    <w:rsid w:val="00E71034"/>
    <w:rsid w:val="00EC46A7"/>
    <w:rsid w:val="00EC678E"/>
    <w:rsid w:val="00EE6708"/>
    <w:rsid w:val="00EE6CDA"/>
    <w:rsid w:val="00EF20D0"/>
    <w:rsid w:val="00EF35C6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paragraph" w:styleId="ab">
    <w:name w:val="Body Text"/>
    <w:basedOn w:val="a"/>
    <w:link w:val="ac"/>
    <w:rsid w:val="00CF25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F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9</cp:revision>
  <dcterms:created xsi:type="dcterms:W3CDTF">2018-03-01T08:55:00Z</dcterms:created>
  <dcterms:modified xsi:type="dcterms:W3CDTF">2018-04-09T09:24:00Z</dcterms:modified>
</cp:coreProperties>
</file>